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E0" w:rsidRPr="00C66606" w:rsidRDefault="00C66606" w:rsidP="0025316B">
      <w:pPr>
        <w:jc w:val="center"/>
        <w:rPr>
          <w:rFonts w:ascii="Bodoni MT Black" w:hAnsi="Bodoni MT Black"/>
          <w:color w:val="0070C0"/>
          <w:sz w:val="32"/>
          <w:szCs w:val="32"/>
        </w:rPr>
      </w:pPr>
      <w:r w:rsidRPr="00C66606">
        <w:rPr>
          <w:rFonts w:ascii="Bodoni MT Black" w:hAnsi="Bodoni MT Black"/>
          <w:color w:val="0070C0"/>
          <w:sz w:val="32"/>
          <w:szCs w:val="32"/>
        </w:rPr>
        <w:t xml:space="preserve">INFORMÁCIÓS </w:t>
      </w:r>
      <w:r w:rsidR="0025316B" w:rsidRPr="00C66606">
        <w:rPr>
          <w:rFonts w:ascii="Bodoni MT Black" w:hAnsi="Bodoni MT Black"/>
          <w:color w:val="0070C0"/>
          <w:sz w:val="32"/>
          <w:szCs w:val="32"/>
        </w:rPr>
        <w:t>LEVÉL</w:t>
      </w:r>
    </w:p>
    <w:p w:rsidR="0025316B" w:rsidRPr="00C66606" w:rsidRDefault="0025316B" w:rsidP="0025316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66606">
        <w:rPr>
          <w:rFonts w:ascii="Bodoni MT Black" w:hAnsi="Bodoni MT Black"/>
          <w:b/>
          <w:color w:val="0070C0"/>
          <w:sz w:val="32"/>
          <w:szCs w:val="32"/>
        </w:rPr>
        <w:t>„M</w:t>
      </w:r>
      <w:r w:rsidRPr="00C66606">
        <w:rPr>
          <w:rFonts w:ascii="Times New Roman" w:hAnsi="Times New Roman" w:cs="Times New Roman"/>
          <w:b/>
          <w:color w:val="0070C0"/>
          <w:sz w:val="32"/>
          <w:szCs w:val="32"/>
        </w:rPr>
        <w:t>Ű</w:t>
      </w:r>
      <w:r w:rsidRPr="00C66606">
        <w:rPr>
          <w:rFonts w:ascii="Bodoni MT Black" w:hAnsi="Bodoni MT Black" w:cs="Times New Roman"/>
          <w:b/>
          <w:color w:val="0070C0"/>
          <w:sz w:val="32"/>
          <w:szCs w:val="32"/>
        </w:rPr>
        <w:t>K</w:t>
      </w:r>
      <w:r w:rsidRPr="00C66606">
        <w:rPr>
          <w:rFonts w:ascii="Bodoni MT Black" w:hAnsi="Bodoni MT Black" w:cs="Bodoni MT Black"/>
          <w:b/>
          <w:color w:val="0070C0"/>
          <w:sz w:val="32"/>
          <w:szCs w:val="32"/>
        </w:rPr>
        <w:t>Ö</w:t>
      </w:r>
      <w:r w:rsidRPr="00C66606">
        <w:rPr>
          <w:rFonts w:ascii="Bodoni MT Black" w:hAnsi="Bodoni MT Black" w:cs="Times New Roman"/>
          <w:b/>
          <w:color w:val="0070C0"/>
          <w:sz w:val="32"/>
          <w:szCs w:val="32"/>
        </w:rPr>
        <w:t>D</w:t>
      </w:r>
      <w:r w:rsidRPr="00C66606">
        <w:rPr>
          <w:rFonts w:ascii="Times New Roman" w:hAnsi="Times New Roman" w:cs="Times New Roman"/>
          <w:b/>
          <w:color w:val="0070C0"/>
          <w:sz w:val="32"/>
          <w:szCs w:val="32"/>
        </w:rPr>
        <w:t>Ő</w:t>
      </w:r>
      <w:r w:rsidRPr="00C66606">
        <w:rPr>
          <w:rFonts w:ascii="Bodoni MT Black" w:hAnsi="Bodoni MT Black" w:cs="Times New Roman"/>
          <w:b/>
          <w:color w:val="0070C0"/>
          <w:sz w:val="32"/>
          <w:szCs w:val="32"/>
        </w:rPr>
        <w:t xml:space="preserve"> ER</w:t>
      </w:r>
      <w:r w:rsidRPr="00C66606">
        <w:rPr>
          <w:rFonts w:ascii="Times New Roman" w:hAnsi="Times New Roman" w:cs="Times New Roman"/>
          <w:b/>
          <w:color w:val="0070C0"/>
          <w:sz w:val="32"/>
          <w:szCs w:val="32"/>
        </w:rPr>
        <w:t>Ő”</w:t>
      </w:r>
    </w:p>
    <w:p w:rsidR="0025316B" w:rsidRPr="00C66606" w:rsidRDefault="0025316B" w:rsidP="0025316B">
      <w:pPr>
        <w:jc w:val="center"/>
        <w:rPr>
          <w:rFonts w:ascii="Bodoni MT Black" w:hAnsi="Bodoni MT Black" w:cs="Times New Roman"/>
          <w:b/>
          <w:color w:val="0070C0"/>
          <w:sz w:val="32"/>
          <w:szCs w:val="32"/>
        </w:rPr>
      </w:pPr>
      <w:r w:rsidRPr="00C66606">
        <w:rPr>
          <w:rFonts w:ascii="Bodoni MT Black" w:hAnsi="Bodoni MT Black" w:cs="Times New Roman"/>
          <w:b/>
          <w:color w:val="0070C0"/>
          <w:sz w:val="32"/>
          <w:szCs w:val="32"/>
        </w:rPr>
        <w:t>IPARI-ENERGETIKAI LOBBY KLUB</w:t>
      </w:r>
    </w:p>
    <w:p w:rsidR="00802377" w:rsidRPr="00C66606" w:rsidRDefault="0025316B" w:rsidP="00C66606">
      <w:pPr>
        <w:ind w:left="284" w:right="283"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6606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="004D44C2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z</w:t>
      </w:r>
      <w:r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D44C2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Energia </w:t>
      </w:r>
      <w:r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Világ Tanács megjelentette 2016. évi </w:t>
      </w:r>
      <w:r w:rsidR="006E5E34">
        <w:rPr>
          <w:rFonts w:ascii="Times New Roman" w:hAnsi="Times New Roman" w:cs="Times New Roman"/>
          <w:b/>
          <w:color w:val="0070C0"/>
          <w:sz w:val="24"/>
          <w:szCs w:val="24"/>
        </w:rPr>
        <w:t>jelentését</w:t>
      </w:r>
      <w:r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az energetik</w:t>
      </w:r>
      <w:r w:rsidR="001F0DDE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á</w:t>
      </w:r>
      <w:r w:rsidR="00802377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ról</w:t>
      </w:r>
      <w:r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és az energiaforrások felhasználásáról. </w:t>
      </w:r>
      <w:r w:rsidR="00802377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Az 1933 óta évente megjelenő kiadvány rendszeresen értékeli a világban zajló energetikai folyamatokat, jelen esetben tizenegy energiatermelési módot valamint a széndioxid és az energia tárolás témakörét járja körül.  A nagy</w:t>
      </w:r>
      <w:r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múltú szervezet </w:t>
      </w:r>
      <w:r w:rsidR="00802377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jelentése </w:t>
      </w:r>
      <w:r w:rsidR="00C66606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tényekre alapozva</w:t>
      </w:r>
      <w:r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fontos megállapításokat </w:t>
      </w:r>
      <w:r w:rsidR="00802377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rögzít </w:t>
      </w:r>
      <w:r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az egyes </w:t>
      </w:r>
      <w:r w:rsidR="00802377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energiatermelési</w:t>
      </w:r>
      <w:r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módok trendjeiről és a jövőbeli kilátásairól. </w:t>
      </w:r>
    </w:p>
    <w:p w:rsidR="003C28ED" w:rsidRPr="00C66606" w:rsidRDefault="00802377" w:rsidP="00C66606">
      <w:pPr>
        <w:ind w:left="284" w:right="283" w:firstLine="28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6606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="0065093C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kiadvány </w:t>
      </w:r>
      <w:r w:rsidR="004D44C2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alapvető megállapítása</w:t>
      </w:r>
      <w:r w:rsidR="0065093C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hogy </w:t>
      </w:r>
      <w:r w:rsidR="004D44C2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az energetikai</w:t>
      </w:r>
      <w:r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szektor vil</w:t>
      </w:r>
      <w:r w:rsidR="0065093C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ágszerte számos kihívás elé néz. Ezek között kiemelkedő az üveg</w:t>
      </w:r>
      <w:r w:rsid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házhatású gázok </w:t>
      </w:r>
      <w:proofErr w:type="gramStart"/>
      <w:r w:rsid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kibocsátásának </w:t>
      </w:r>
      <w:r w:rsidR="0065093C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célszámok</w:t>
      </w:r>
      <w:proofErr w:type="gramEnd"/>
      <w:r w:rsidR="0065093C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szerinti csökkentése. Azonban ennek a törekvésnek a társadalmi elfogadottsága még közel sem általános. A közgondolkodásban erős tere van annak a szemléletnek, hogy a felvázolt negatív környezeti hatások eltúlzók, a romló tendenciák nem vagy </w:t>
      </w:r>
      <w:r w:rsidR="004D44C2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csak mérsékelten érzékelhetők a környezetünkben. Hasonlóan átfogó problémaként </w:t>
      </w:r>
      <w:proofErr w:type="gramStart"/>
      <w:r w:rsidR="004D44C2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jelentkezik</w:t>
      </w:r>
      <w:proofErr w:type="gramEnd"/>
      <w:r w:rsidR="004D44C2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az un. „Energia </w:t>
      </w:r>
      <w:proofErr w:type="spellStart"/>
      <w:r w:rsidR="004D44C2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Trilemma</w:t>
      </w:r>
      <w:proofErr w:type="spellEnd"/>
      <w:r w:rsidR="004D44C2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C28ED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amely magába foglalja a környezet megóvására vonatkozó megfontolásokat, az energia rendszerek rugalmas működését és az ellátás biztonság magas szintű fent tartását. Ezen elvek </w:t>
      </w:r>
      <w:r w:rsidR="00C66606">
        <w:rPr>
          <w:rFonts w:ascii="Times New Roman" w:hAnsi="Times New Roman" w:cs="Times New Roman"/>
          <w:b/>
          <w:color w:val="0070C0"/>
          <w:sz w:val="24"/>
          <w:szCs w:val="24"/>
        </w:rPr>
        <w:t>figyelembe vételével</w:t>
      </w:r>
      <w:r w:rsidR="003C28ED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szükséges tervezni a jövőt és a jelenlegi energetikai rendszerek üzemeltetését.</w:t>
      </w:r>
    </w:p>
    <w:p w:rsidR="0025316B" w:rsidRPr="00C66606" w:rsidRDefault="003C28ED" w:rsidP="00C66606">
      <w:pPr>
        <w:ind w:left="284" w:right="283" w:firstLine="28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Az elmúlt </w:t>
      </w:r>
      <w:r w:rsidR="003F2C7E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tizenöt évben példátlan módon változott a világon az energia felhasználás. Nem várt módon növekedett a megújuló energiatermelési módok fejlesztése köszönhetően a támogatott beruházásoknak. Gyors fejlődés </w:t>
      </w:r>
      <w:r w:rsidR="00665C05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mutatkozott az</w:t>
      </w:r>
      <w:r w:rsidR="003F2C7E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0E28CB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összes </w:t>
      </w:r>
      <w:r w:rsidR="003F2C7E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energetikai technológi</w:t>
      </w:r>
      <w:r w:rsidR="000E28CB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ában, amelynek eredményeképpen </w:t>
      </w:r>
      <w:r w:rsid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az </w:t>
      </w:r>
      <w:r w:rsidR="00A1061A">
        <w:rPr>
          <w:rFonts w:ascii="Times New Roman" w:hAnsi="Times New Roman" w:cs="Times New Roman"/>
          <w:b/>
          <w:color w:val="0070C0"/>
          <w:sz w:val="24"/>
          <w:szCs w:val="24"/>
        </w:rPr>
        <w:t>energiatermelési</w:t>
      </w:r>
      <w:r w:rsid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módok hatásfoka növekedett, </w:t>
      </w:r>
      <w:r w:rsidR="000E28CB" w:rsidRPr="00C666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az energia árak jelentősen estek ezzel elősegítve a gazdasági növekedés bővülését. </w:t>
      </w:r>
    </w:p>
    <w:p w:rsidR="001D1314" w:rsidRPr="0025316B" w:rsidRDefault="001D1314" w:rsidP="001D1314">
      <w:pPr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4EA19F79" wp14:editId="296FCA1D">
            <wp:extent cx="4650613" cy="2399783"/>
            <wp:effectExtent l="0" t="0" r="0" b="63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6B62" w:rsidRPr="001F1FA2" w:rsidRDefault="00313466" w:rsidP="00A5645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1FA2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Az energiaforrások felhasználására </w:t>
      </w:r>
      <w:r w:rsidR="0077327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valamint a </w:t>
      </w:r>
      <w:r w:rsidR="0077327B" w:rsidRPr="00C66606">
        <w:rPr>
          <w:rFonts w:ascii="Times New Roman" w:hAnsi="Times New Roman" w:cs="Times New Roman"/>
          <w:b/>
          <w:color w:val="0070C0"/>
          <w:sz w:val="24"/>
          <w:szCs w:val="24"/>
        </w:rPr>
        <w:t>széndioxid és az energiatárolás</w:t>
      </w:r>
      <w:r w:rsidR="0077327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ra </w:t>
      </w:r>
      <w:r w:rsidR="0001050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vonatkozó </w:t>
      </w:r>
      <w:r w:rsidRPr="001F1FA2">
        <w:rPr>
          <w:rFonts w:ascii="Times New Roman" w:hAnsi="Times New Roman" w:cs="Times New Roman"/>
          <w:b/>
          <w:color w:val="0070C0"/>
          <w:sz w:val="24"/>
          <w:szCs w:val="24"/>
        </w:rPr>
        <w:t>jellemző tények:</w:t>
      </w:r>
    </w:p>
    <w:p w:rsidR="00FA3AC6" w:rsidRPr="001F1FA2" w:rsidRDefault="00935ECE" w:rsidP="00935ECE">
      <w:pPr>
        <w:ind w:left="567"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1FA2">
        <w:rPr>
          <w:noProof/>
          <w:color w:val="0070C0"/>
          <w:lang w:eastAsia="hu-HU"/>
        </w:rPr>
        <w:drawing>
          <wp:inline distT="0" distB="0" distL="0" distR="0" wp14:anchorId="688AF16D" wp14:editId="355CC74D">
            <wp:extent cx="245721" cy="243135"/>
            <wp:effectExtent l="0" t="0" r="2540" b="50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02" cy="24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F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  <w:r w:rsidR="00FA3AC6" w:rsidRPr="001F1FA2">
        <w:rPr>
          <w:rFonts w:ascii="Times New Roman" w:hAnsi="Times New Roman" w:cs="Times New Roman"/>
          <w:b/>
          <w:color w:val="0070C0"/>
          <w:sz w:val="24"/>
          <w:szCs w:val="24"/>
        </w:rPr>
        <w:t>Szén</w:t>
      </w:r>
    </w:p>
    <w:p w:rsidR="00A1061A" w:rsidRPr="001F1FA2" w:rsidRDefault="00A1061A" w:rsidP="00935ECE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1FA2">
        <w:rPr>
          <w:rFonts w:ascii="Times New Roman" w:hAnsi="Times New Roman" w:cs="Times New Roman"/>
          <w:b/>
          <w:color w:val="0070C0"/>
          <w:sz w:val="24"/>
          <w:szCs w:val="24"/>
        </w:rPr>
        <w:t>Jelenleg a szén alapon állítják elő a világ</w:t>
      </w:r>
      <w:r w:rsidR="00935ECE" w:rsidRPr="001F1FA2">
        <w:rPr>
          <w:rFonts w:ascii="Times New Roman" w:hAnsi="Times New Roman" w:cs="Times New Roman"/>
          <w:b/>
          <w:color w:val="0070C0"/>
          <w:sz w:val="24"/>
          <w:szCs w:val="24"/>
        </w:rPr>
        <w:t>o</w:t>
      </w:r>
      <w:r w:rsidRPr="001F1F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 </w:t>
      </w:r>
      <w:proofErr w:type="gramStart"/>
      <w:r w:rsidRPr="001F1F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felhasznált  </w:t>
      </w:r>
      <w:proofErr w:type="spellStart"/>
      <w:r w:rsidRPr="001F1FA2">
        <w:rPr>
          <w:rFonts w:ascii="Times New Roman" w:hAnsi="Times New Roman" w:cs="Times New Roman"/>
          <w:b/>
          <w:color w:val="0070C0"/>
          <w:sz w:val="24"/>
          <w:szCs w:val="24"/>
        </w:rPr>
        <w:t>villamosenergia</w:t>
      </w:r>
      <w:proofErr w:type="spellEnd"/>
      <w:proofErr w:type="gramEnd"/>
      <w:r w:rsidRPr="001F1F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40%-át, annak ellenére, hogy erős törekvés van a klímaváltozás </w:t>
      </w:r>
      <w:r w:rsidR="00935ECE" w:rsidRPr="001F1F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negatív hatásainak mérséklésére. </w:t>
      </w:r>
    </w:p>
    <w:p w:rsidR="00A56453" w:rsidRDefault="00935ECE" w:rsidP="00A5645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1F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 szén energetikai felhasználása 64%-kal növekedett 2000 és 2014 között. </w:t>
      </w:r>
    </w:p>
    <w:p w:rsidR="00935ECE" w:rsidRPr="00A56453" w:rsidRDefault="00935ECE" w:rsidP="00A56453">
      <w:pPr>
        <w:pStyle w:val="Listaszerbekezds"/>
        <w:ind w:left="2496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1FA2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6E3AEB9" wp14:editId="67B2B69D">
            <wp:simplePos x="0" y="0"/>
            <wp:positionH relativeFrom="column">
              <wp:posOffset>-28461</wp:posOffset>
            </wp:positionH>
            <wp:positionV relativeFrom="paragraph">
              <wp:posOffset>281305</wp:posOffset>
            </wp:positionV>
            <wp:extent cx="242570" cy="242570"/>
            <wp:effectExtent l="0" t="0" r="5080" b="508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257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ECE" w:rsidRPr="001F1FA2" w:rsidRDefault="00935ECE" w:rsidP="00935ECE">
      <w:pPr>
        <w:ind w:left="567"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1F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  <w:r w:rsidRPr="001F1FA2">
        <w:rPr>
          <w:rFonts w:ascii="Times New Roman" w:hAnsi="Times New Roman" w:cs="Times New Roman"/>
          <w:b/>
          <w:color w:val="0070C0"/>
          <w:sz w:val="24"/>
          <w:szCs w:val="24"/>
        </w:rPr>
        <w:tab/>
        <w:t>Olaj</w:t>
      </w:r>
    </w:p>
    <w:p w:rsidR="00A56453" w:rsidRPr="00D47EDA" w:rsidRDefault="001F1FA2" w:rsidP="001F6B6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>Az olaj birtokolja</w:t>
      </w:r>
      <w:r w:rsidR="00A56453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továbbra is </w:t>
      </w: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>a vezető szerepet 33%-kal a világ energiaforrásainak felhasználásában.</w:t>
      </w:r>
    </w:p>
    <w:p w:rsidR="001F6B62" w:rsidRPr="00D47EDA" w:rsidRDefault="004249BB" w:rsidP="001F6B6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1FA2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F1425F7" wp14:editId="5301625A">
            <wp:simplePos x="0" y="0"/>
            <wp:positionH relativeFrom="column">
              <wp:posOffset>-29059</wp:posOffset>
            </wp:positionH>
            <wp:positionV relativeFrom="paragraph">
              <wp:posOffset>1238250</wp:posOffset>
            </wp:positionV>
            <wp:extent cx="242570" cy="242570"/>
            <wp:effectExtent l="0" t="0" r="5080" b="508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257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FA2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Kínában az olaj alapú energia felhasználás növekedése lelassult </w:t>
      </w:r>
      <w:r w:rsidR="00A56453" w:rsidRPr="00D47EDA">
        <w:rPr>
          <w:rFonts w:ascii="Times New Roman" w:hAnsi="Times New Roman" w:cs="Times New Roman"/>
          <w:b/>
          <w:color w:val="0070C0"/>
          <w:sz w:val="24"/>
          <w:szCs w:val="24"/>
        </w:rPr>
        <w:t>évi</w:t>
      </w:r>
      <w:r w:rsidR="001F1FA2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1,5 %-ra, míg India rekord nagyságú</w:t>
      </w:r>
      <w:r w:rsidR="00A56453" w:rsidRPr="00D47EDA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1F1FA2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5,</w:t>
      </w:r>
      <w:r w:rsidR="00A56453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2 %-os </w:t>
      </w:r>
      <w:proofErr w:type="gramStart"/>
      <w:r w:rsidR="00BC27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bővülést </w:t>
      </w:r>
      <w:r w:rsidR="001F1FA2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ért</w:t>
      </w:r>
      <w:proofErr w:type="gramEnd"/>
      <w:r w:rsidR="001F1FA2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el</w:t>
      </w:r>
      <w:r w:rsidR="00A56453" w:rsidRPr="00D47ED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1F1FA2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56453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fejlett világban az olaj import ambivalens </w:t>
      </w:r>
      <w:r w:rsidR="00BC27A9" w:rsidRPr="00D47EDA">
        <w:rPr>
          <w:rFonts w:ascii="Times New Roman" w:hAnsi="Times New Roman" w:cs="Times New Roman"/>
          <w:b/>
          <w:color w:val="0070C0"/>
          <w:sz w:val="24"/>
          <w:szCs w:val="24"/>
        </w:rPr>
        <w:t>módon változik</w:t>
      </w:r>
      <w:r w:rsidR="00A56453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a tengerentúlon jellemzően csökken (USA -0,9% és Japán -1,2%), illetve minimálisan emelkedik </w:t>
      </w:r>
      <w:r w:rsidR="0001050B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Európában </w:t>
      </w:r>
      <w:r w:rsidR="00A56453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(EU +1,6%). </w:t>
      </w:r>
    </w:p>
    <w:p w:rsidR="00A56453" w:rsidRPr="00D47EDA" w:rsidRDefault="00A56453" w:rsidP="00A5645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ab/>
        <w:t>Gáz</w:t>
      </w:r>
    </w:p>
    <w:p w:rsidR="00A56453" w:rsidRPr="00D47EDA" w:rsidRDefault="0001050B" w:rsidP="00A5645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>A nem konvencionális technológiával kinyert gázok aránya eléri a 10%-át a világ földgáz kitermelésének</w:t>
      </w:r>
      <w:r w:rsidR="00BC27A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01050B" w:rsidRPr="00D47EDA" w:rsidRDefault="0001050B" w:rsidP="00A5645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</w:t>
      </w:r>
      <w:proofErr w:type="spellStart"/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>villamosenergia</w:t>
      </w:r>
      <w:proofErr w:type="spellEnd"/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termelésben a földgáz</w:t>
      </w:r>
      <w:r w:rsidR="00BC27A9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mint tüzelőanyag 22%-os részarányt képez. A jövőbe kitekintve egyedüliként a fosszilis tüzelőanyagok közül a földgáz </w:t>
      </w:r>
      <w:r w:rsidR="00BC27A9" w:rsidRPr="00D47EDA">
        <w:rPr>
          <w:rFonts w:ascii="Times New Roman" w:hAnsi="Times New Roman" w:cs="Times New Roman"/>
          <w:b/>
          <w:color w:val="0070C0"/>
          <w:sz w:val="24"/>
          <w:szCs w:val="24"/>
        </w:rPr>
        <w:t>felhasználás aránya</w:t>
      </w: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BC27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jellemzően </w:t>
      </w: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növekedni fog. </w:t>
      </w:r>
    </w:p>
    <w:p w:rsidR="0001050B" w:rsidRPr="00D47EDA" w:rsidRDefault="00C87E88" w:rsidP="0001050B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color w:val="0070C0"/>
        </w:rPr>
        <w:pict>
          <v:shape id="_x0000_i1029" type="#_x0000_t75" style="width:19.15pt;height:17.9pt;visibility:visible;mso-wrap-style:square">
            <v:imagedata r:id="rId10" o:title=""/>
          </v:shape>
        </w:pict>
      </w:r>
      <w:r w:rsidR="0001050B" w:rsidRPr="00D47EDA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Nukleáris </w:t>
      </w:r>
      <w:r w:rsidR="00D47EDA" w:rsidRPr="00D47EDA">
        <w:rPr>
          <w:rFonts w:ascii="Times New Roman" w:hAnsi="Times New Roman" w:cs="Times New Roman"/>
          <w:b/>
          <w:color w:val="0070C0"/>
          <w:sz w:val="24"/>
          <w:szCs w:val="24"/>
        </w:rPr>
        <w:t>energia</w:t>
      </w:r>
    </w:p>
    <w:p w:rsidR="00B41F9F" w:rsidRPr="00D47EDA" w:rsidRDefault="00B41F9F" w:rsidP="0001050B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világ uránérc kitermelése 40%-kal növekedett 2004 és 2013 között, köszönhetően a </w:t>
      </w:r>
      <w:r w:rsidR="009F314E" w:rsidRPr="00D47EDA">
        <w:rPr>
          <w:rFonts w:ascii="Times New Roman" w:hAnsi="Times New Roman" w:cs="Times New Roman"/>
          <w:b/>
          <w:color w:val="0070C0"/>
          <w:sz w:val="24"/>
          <w:szCs w:val="24"/>
        </w:rPr>
        <w:t>kazahsztáni bányászati</w:t>
      </w: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tevékenység aktivitásának.</w:t>
      </w:r>
    </w:p>
    <w:p w:rsidR="00B41F9F" w:rsidRPr="00D47EDA" w:rsidRDefault="00B41F9F" w:rsidP="0001050B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2015 évvégén 65 új atomerőmű volt építés alatt, ebből 40 egység </w:t>
      </w:r>
      <w:r w:rsid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installálásán </w:t>
      </w: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>négy ország (Kína, India, Dél-Korea és Oroszország) osztozott.</w:t>
      </w:r>
    </w:p>
    <w:p w:rsidR="0001050B" w:rsidRPr="00D47EDA" w:rsidRDefault="00B41F9F" w:rsidP="00B41F9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EDA">
        <w:rPr>
          <w:noProof/>
          <w:color w:val="0070C0"/>
          <w:lang w:eastAsia="hu-HU"/>
        </w:rPr>
        <w:drawing>
          <wp:inline distT="0" distB="0" distL="0" distR="0" wp14:anchorId="1395D3A3" wp14:editId="75E4D4A6">
            <wp:extent cx="256878" cy="241231"/>
            <wp:effectExtent l="0" t="0" r="0" b="698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ab/>
        <w:t>Víz</w:t>
      </w:r>
      <w:r w:rsidR="00D47EDA" w:rsidRPr="00D47EDA">
        <w:rPr>
          <w:rFonts w:ascii="Times New Roman" w:hAnsi="Times New Roman" w:cs="Times New Roman"/>
          <w:b/>
          <w:color w:val="0070C0"/>
          <w:sz w:val="24"/>
          <w:szCs w:val="24"/>
        </w:rPr>
        <w:t>energia</w:t>
      </w:r>
    </w:p>
    <w:p w:rsidR="00B41F9F" w:rsidRPr="00D47EDA" w:rsidRDefault="00B41F9F" w:rsidP="00B41F9F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megújuló alapú </w:t>
      </w:r>
      <w:proofErr w:type="spellStart"/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>villamosenergia</w:t>
      </w:r>
      <w:proofErr w:type="spellEnd"/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termelés 71%-a vízerőművekben kerül előállításra.</w:t>
      </w:r>
      <w:r w:rsidR="00C91D08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 beépített összes teljesítmény 1064 GW, amely a világ </w:t>
      </w:r>
      <w:proofErr w:type="spellStart"/>
      <w:r w:rsidR="00C91D08" w:rsidRPr="00D47EDA">
        <w:rPr>
          <w:rFonts w:ascii="Times New Roman" w:hAnsi="Times New Roman" w:cs="Times New Roman"/>
          <w:b/>
          <w:color w:val="0070C0"/>
          <w:sz w:val="24"/>
          <w:szCs w:val="24"/>
        </w:rPr>
        <w:t>villamosenergia</w:t>
      </w:r>
      <w:proofErr w:type="spellEnd"/>
      <w:r w:rsidR="00C91D08"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termelésének 16%-át biztosítja.  </w:t>
      </w:r>
    </w:p>
    <w:p w:rsidR="00C91D08" w:rsidRPr="00D47EDA" w:rsidRDefault="00B41F9F" w:rsidP="00C91D08">
      <w:pPr>
        <w:pStyle w:val="Listaszerbekezds"/>
        <w:ind w:left="709" w:hanging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 </w:t>
      </w:r>
      <w:r w:rsidR="007223D2">
        <w:rPr>
          <w:noProof/>
          <w:lang w:eastAsia="hu-HU"/>
        </w:rPr>
        <w:drawing>
          <wp:inline distT="0" distB="0" distL="0" distR="0" wp14:anchorId="6F913518" wp14:editId="3A72F7F4">
            <wp:extent cx="280134" cy="267071"/>
            <wp:effectExtent l="0" t="0" r="5715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975" cy="26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D08" w:rsidRPr="00D47EDA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Biomassza </w:t>
      </w:r>
    </w:p>
    <w:p w:rsidR="00C04121" w:rsidRPr="00D47EDA" w:rsidRDefault="00C91D08" w:rsidP="00C91D08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EDA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  <w:t xml:space="preserve">Az </w:t>
      </w:r>
      <w:r w:rsidR="00C04121" w:rsidRPr="00D47EDA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  <w:t xml:space="preserve">erdei fa és faszármazékok adják a 90%-át a teljes biomassza tüzelőanyag felhasználásnak. </w:t>
      </w:r>
    </w:p>
    <w:p w:rsidR="00B41F9F" w:rsidRPr="00D47EDA" w:rsidRDefault="00C04121" w:rsidP="00C04121">
      <w:pPr>
        <w:jc w:val="both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</w:pPr>
      <w:r w:rsidRPr="00D47EDA">
        <w:rPr>
          <w:noProof/>
          <w:color w:val="0070C0"/>
          <w:lang w:eastAsia="hu-HU"/>
        </w:rPr>
        <w:drawing>
          <wp:inline distT="0" distB="0" distL="0" distR="0" wp14:anchorId="6559D775" wp14:editId="42AB9A57">
            <wp:extent cx="272292" cy="248267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753" cy="25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7EDA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  <w:t xml:space="preserve">  </w:t>
      </w:r>
      <w:r w:rsidRPr="00D47EDA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  <w:tab/>
      </w:r>
      <w:r w:rsidR="008E1E91" w:rsidRPr="00D47EDA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u-HU"/>
        </w:rPr>
        <w:t>Hulladék-égetés</w:t>
      </w:r>
    </w:p>
    <w:p w:rsidR="008E1E91" w:rsidRPr="00D47EDA" w:rsidRDefault="008E1E91" w:rsidP="008E1E91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Európa egyértelműen vezető szerepet tölt be a </w:t>
      </w:r>
      <w:proofErr w:type="gramStart"/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„ </w:t>
      </w:r>
      <w:proofErr w:type="spellStart"/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>Waste</w:t>
      </w:r>
      <w:proofErr w:type="spellEnd"/>
      <w:proofErr w:type="gramEnd"/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>to</w:t>
      </w:r>
      <w:proofErr w:type="spellEnd"/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>Energy</w:t>
      </w:r>
      <w:proofErr w:type="spellEnd"/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technológiák fejlesztésében, itt </w:t>
      </w:r>
      <w:r w:rsidR="00D47EDA" w:rsidRPr="00D47EDA">
        <w:rPr>
          <w:rFonts w:ascii="Times New Roman" w:hAnsi="Times New Roman" w:cs="Times New Roman"/>
          <w:b/>
          <w:color w:val="0070C0"/>
          <w:sz w:val="24"/>
          <w:szCs w:val="24"/>
        </w:rPr>
        <w:t>volt a legjelentősebb az éves növekedés, amely majd nem elérte a 8%-ot.</w:t>
      </w:r>
    </w:p>
    <w:p w:rsidR="00D47EDA" w:rsidRDefault="00D47EDA" w:rsidP="00D47ED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EDA">
        <w:rPr>
          <w:noProof/>
          <w:color w:val="0070C0"/>
          <w:lang w:eastAsia="hu-HU"/>
        </w:rPr>
        <w:drawing>
          <wp:inline distT="0" distB="0" distL="0" distR="0" wp14:anchorId="0F19CEDA" wp14:editId="6C214767">
            <wp:extent cx="269563" cy="259472"/>
            <wp:effectExtent l="0" t="0" r="0" b="762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123" cy="26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7EDA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Napenergia </w:t>
      </w:r>
    </w:p>
    <w:p w:rsidR="00D47EDA" w:rsidRDefault="00D47EDA" w:rsidP="00D47EDA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249B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világ szerte üzembe helyezett </w:t>
      </w:r>
      <w:r w:rsidR="004249BB" w:rsidRPr="004249BB">
        <w:rPr>
          <w:rFonts w:ascii="Times New Roman" w:hAnsi="Times New Roman" w:cs="Times New Roman"/>
          <w:b/>
          <w:color w:val="0070C0"/>
          <w:sz w:val="24"/>
          <w:szCs w:val="24"/>
        </w:rPr>
        <w:t>villamos kapacitás</w:t>
      </w:r>
      <w:r w:rsidRPr="004249B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elérte 230 GW értéket. Az PV (</w:t>
      </w:r>
      <w:proofErr w:type="spellStart"/>
      <w:r w:rsidRPr="004249BB">
        <w:rPr>
          <w:rFonts w:ascii="Times New Roman" w:hAnsi="Times New Roman" w:cs="Times New Roman"/>
          <w:b/>
          <w:color w:val="0070C0"/>
          <w:sz w:val="24"/>
          <w:szCs w:val="24"/>
        </w:rPr>
        <w:t>photovoltaic</w:t>
      </w:r>
      <w:proofErr w:type="spellEnd"/>
      <w:r w:rsidRPr="004249BB">
        <w:rPr>
          <w:rFonts w:ascii="Times New Roman" w:hAnsi="Times New Roman" w:cs="Times New Roman"/>
          <w:b/>
          <w:color w:val="0070C0"/>
          <w:sz w:val="24"/>
          <w:szCs w:val="24"/>
        </w:rPr>
        <w:t>) cellák ára drasztikusan csökkent az évek alatt US</w:t>
      </w:r>
      <w:r w:rsidRPr="004249BB">
        <w:rPr>
          <w:rFonts w:ascii="Times New Roman" w:eastAsia="Yu Mincho Light" w:hAnsi="Times New Roman" w:cs="Times New Roman"/>
          <w:b/>
          <w:color w:val="0070C0"/>
          <w:sz w:val="24"/>
          <w:szCs w:val="24"/>
        </w:rPr>
        <w:t xml:space="preserve">$ </w:t>
      </w:r>
      <w:r w:rsidRPr="004249BB">
        <w:rPr>
          <w:rFonts w:ascii="Times New Roman" w:hAnsi="Times New Roman" w:cs="Times New Roman"/>
          <w:b/>
          <w:color w:val="0070C0"/>
          <w:sz w:val="24"/>
          <w:szCs w:val="24"/>
        </w:rPr>
        <w:t>4/W (2007) értékről US</w:t>
      </w:r>
      <w:r w:rsidRPr="004249BB">
        <w:rPr>
          <w:rFonts w:ascii="Times New Roman" w:eastAsia="Yu Mincho Light" w:hAnsi="Times New Roman" w:cs="Times New Roman"/>
          <w:b/>
          <w:color w:val="0070C0"/>
          <w:sz w:val="24"/>
          <w:szCs w:val="24"/>
        </w:rPr>
        <w:t xml:space="preserve">$ 1,8/W </w:t>
      </w:r>
      <w:r w:rsidR="004249BB">
        <w:rPr>
          <w:rFonts w:ascii="Times New Roman" w:eastAsia="Yu Mincho Light" w:hAnsi="Times New Roman" w:cs="Times New Roman"/>
          <w:b/>
          <w:color w:val="0070C0"/>
          <w:sz w:val="24"/>
          <w:szCs w:val="24"/>
        </w:rPr>
        <w:t xml:space="preserve">(2015) </w:t>
      </w:r>
      <w:r w:rsidRPr="004249BB">
        <w:rPr>
          <w:rFonts w:ascii="Times New Roman" w:eastAsia="Yu Mincho Light" w:hAnsi="Times New Roman" w:cs="Times New Roman"/>
          <w:b/>
          <w:color w:val="0070C0"/>
          <w:sz w:val="24"/>
          <w:szCs w:val="24"/>
        </w:rPr>
        <w:t>értékre</w:t>
      </w:r>
      <w:r w:rsidR="004249BB">
        <w:rPr>
          <w:rFonts w:ascii="Times New Roman" w:eastAsia="Yu Mincho Light" w:hAnsi="Times New Roman" w:cs="Times New Roman"/>
          <w:b/>
          <w:color w:val="0070C0"/>
          <w:sz w:val="24"/>
          <w:szCs w:val="24"/>
        </w:rPr>
        <w:t>.</w:t>
      </w:r>
      <w:r w:rsidRPr="004249BB">
        <w:rPr>
          <w:rFonts w:ascii="Times New Roman" w:eastAsia="Yu Mincho Light" w:hAnsi="Times New Roman" w:cs="Times New Roman"/>
          <w:b/>
          <w:color w:val="0070C0"/>
          <w:sz w:val="24"/>
          <w:szCs w:val="24"/>
        </w:rPr>
        <w:t xml:space="preserve"> </w:t>
      </w:r>
      <w:r w:rsidRPr="004249B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4249BB" w:rsidRDefault="004249BB" w:rsidP="004249BB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color w:val="0070C0"/>
          <w:lang w:eastAsia="hu-HU"/>
        </w:rPr>
        <w:drawing>
          <wp:inline distT="0" distB="0" distL="0" distR="0">
            <wp:extent cx="259505" cy="253706"/>
            <wp:effectExtent l="0" t="0" r="762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>Geotermikus</w:t>
      </w:r>
    </w:p>
    <w:p w:rsidR="00D5139D" w:rsidRDefault="00D5139D" w:rsidP="004249BB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geotermikus alapú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villamosenergia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termelő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kapacitás  az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elmúlt évben 315 MW-tal növekedett, jelenleg eléri a 13,2GW-t. </w:t>
      </w:r>
    </w:p>
    <w:p w:rsidR="004249BB" w:rsidRDefault="00D5139D" w:rsidP="00D5139D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513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noProof/>
          <w:lang w:eastAsia="hu-HU"/>
        </w:rPr>
        <w:drawing>
          <wp:inline distT="0" distB="0" distL="0" distR="0" wp14:anchorId="2C34FD19" wp14:editId="7E842865">
            <wp:extent cx="245820" cy="248421"/>
            <wp:effectExtent l="0" t="0" r="190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8855" cy="25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Szélenergia</w:t>
      </w:r>
    </w:p>
    <w:p w:rsidR="00D5139D" w:rsidRPr="00D5139D" w:rsidRDefault="00D5139D" w:rsidP="00D5139D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beépített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szélerőművi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kapacitás 435 GW (2015) és ez a</w:t>
      </w:r>
      <w:r w:rsidR="000944F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volumen </w:t>
      </w:r>
      <w:r w:rsidR="000944F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1000 GW-ra nőhet 2030-ra. </w:t>
      </w:r>
    </w:p>
    <w:p w:rsidR="00D5139D" w:rsidRDefault="007223D2" w:rsidP="00D5139D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EDA">
        <w:rPr>
          <w:noProof/>
          <w:color w:val="0070C0"/>
          <w:lang w:eastAsia="hu-HU"/>
        </w:rPr>
        <w:drawing>
          <wp:inline distT="0" distB="0" distL="0" distR="0" wp14:anchorId="175D1CAB" wp14:editId="6A218331">
            <wp:extent cx="264448" cy="248421"/>
            <wp:effectExtent l="0" t="0" r="254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4023" cy="24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27B">
        <w:rPr>
          <w:rFonts w:ascii="Times New Roman" w:hAnsi="Times New Roman" w:cs="Times New Roman"/>
          <w:b/>
          <w:color w:val="0070C0"/>
          <w:sz w:val="24"/>
          <w:szCs w:val="24"/>
        </w:rPr>
        <w:tab/>
        <w:t>Széndioxid</w:t>
      </w:r>
      <w:r w:rsidR="009F31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befogás és tárolás (</w:t>
      </w:r>
      <w:proofErr w:type="spellStart"/>
      <w:r w:rsidR="009F314E">
        <w:rPr>
          <w:rFonts w:ascii="Times New Roman" w:hAnsi="Times New Roman" w:cs="Times New Roman"/>
          <w:b/>
          <w:color w:val="0070C0"/>
          <w:sz w:val="24"/>
          <w:szCs w:val="24"/>
        </w:rPr>
        <w:t>Carbon</w:t>
      </w:r>
      <w:proofErr w:type="spellEnd"/>
      <w:r w:rsidR="009F31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="009F314E">
        <w:rPr>
          <w:rFonts w:ascii="Times New Roman" w:hAnsi="Times New Roman" w:cs="Times New Roman"/>
          <w:b/>
          <w:color w:val="0070C0"/>
          <w:sz w:val="24"/>
          <w:szCs w:val="24"/>
        </w:rPr>
        <w:t>Capture</w:t>
      </w:r>
      <w:proofErr w:type="spellEnd"/>
      <w:r w:rsidR="009F31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and Storage (CCS))</w:t>
      </w:r>
    </w:p>
    <w:p w:rsidR="009F314E" w:rsidRDefault="009F314E" w:rsidP="009F314E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2014-ben lépett üzembe a világ első nagy kapacitású CCS technológiája Kanadában, a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Boandary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Dam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széntüzelésű erőmű </w:t>
      </w:r>
      <w:r w:rsidR="00BC27A9">
        <w:rPr>
          <w:rFonts w:ascii="Times New Roman" w:hAnsi="Times New Roman" w:cs="Times New Roman"/>
          <w:b/>
          <w:color w:val="0070C0"/>
          <w:sz w:val="24"/>
          <w:szCs w:val="24"/>
        </w:rPr>
        <w:t>légszennyezését jelentősen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csökkentve.  </w:t>
      </w:r>
    </w:p>
    <w:p w:rsidR="009F314E" w:rsidRDefault="009F314E" w:rsidP="009F314E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Világszerte 22 nagy méretű CCS projekt már működik vagy kivitelezés alatt áll. Összes kapacitásuk eléri az </w:t>
      </w:r>
      <w:r w:rsidR="00C46E63">
        <w:rPr>
          <w:rFonts w:ascii="Times New Roman" w:hAnsi="Times New Roman" w:cs="Times New Roman"/>
          <w:b/>
          <w:color w:val="0070C0"/>
          <w:sz w:val="24"/>
          <w:szCs w:val="24"/>
        </w:rPr>
        <w:t>évi 40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millió tonnát.</w:t>
      </w:r>
    </w:p>
    <w:p w:rsidR="00C46E63" w:rsidRDefault="00C46E63" w:rsidP="00C46E63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9888573" wp14:editId="53120DB3">
            <wp:extent cx="258992" cy="244603"/>
            <wp:effectExtent l="0" t="0" r="8255" b="317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038" cy="24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FB3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6E5E34">
        <w:rPr>
          <w:rFonts w:ascii="Times New Roman" w:hAnsi="Times New Roman" w:cs="Times New Roman"/>
          <w:b/>
          <w:color w:val="0070C0"/>
          <w:sz w:val="24"/>
          <w:szCs w:val="24"/>
        </w:rPr>
        <w:t>Energiatárolás (E-Storage)</w:t>
      </w:r>
    </w:p>
    <w:p w:rsidR="006E5E34" w:rsidRDefault="006E5E34" w:rsidP="006E5E34">
      <w:pPr>
        <w:pStyle w:val="Listaszerbekezds"/>
        <w:numPr>
          <w:ilvl w:val="0"/>
          <w:numId w:val="21"/>
        </w:numPr>
        <w:ind w:left="2552" w:hanging="42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C27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Az </w:t>
      </w:r>
      <w:r w:rsidR="00BC27A9" w:rsidRPr="00BC27A9">
        <w:rPr>
          <w:rFonts w:ascii="Times New Roman" w:hAnsi="Times New Roman" w:cs="Times New Roman"/>
          <w:b/>
          <w:color w:val="0070C0"/>
          <w:sz w:val="24"/>
          <w:szCs w:val="24"/>
        </w:rPr>
        <w:t>energiatárolásban</w:t>
      </w:r>
      <w:r w:rsidRPr="00BC27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szerepet játszó szuperkondenzátorok, lendkerekes és akkumulátoros </w:t>
      </w:r>
      <w:r w:rsidR="00BC27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megoldások </w:t>
      </w:r>
      <w:r w:rsidRPr="00BC27A9">
        <w:rPr>
          <w:rFonts w:ascii="Times New Roman" w:hAnsi="Times New Roman" w:cs="Times New Roman"/>
          <w:b/>
          <w:color w:val="0070C0"/>
          <w:sz w:val="24"/>
          <w:szCs w:val="24"/>
        </w:rPr>
        <w:t>valamint a hőtárolók mellett a meghatározó szerepet továbbra is a szivattyús tározók adják az össz</w:t>
      </w:r>
      <w:r w:rsidR="00BC27A9" w:rsidRPr="00BC27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es </w:t>
      </w:r>
      <w:r w:rsidR="00BC27A9">
        <w:rPr>
          <w:rFonts w:ascii="Times New Roman" w:hAnsi="Times New Roman" w:cs="Times New Roman"/>
          <w:b/>
          <w:color w:val="0070C0"/>
          <w:sz w:val="24"/>
          <w:szCs w:val="24"/>
        </w:rPr>
        <w:t>tárolási kapacitás</w:t>
      </w:r>
      <w:r w:rsidRPr="00BC27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95%-ával</w:t>
      </w:r>
      <w:r w:rsidR="00BC27A9" w:rsidRPr="00BC27A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BC27A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</w:p>
    <w:p w:rsidR="00BC27A9" w:rsidRDefault="00BC27A9" w:rsidP="006E5E34">
      <w:pPr>
        <w:pStyle w:val="Listaszerbekezds"/>
        <w:numPr>
          <w:ilvl w:val="0"/>
          <w:numId w:val="21"/>
        </w:numPr>
        <w:ind w:left="2552" w:hanging="425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lakossági  PV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napelemekkel kapcsolt akkumulátoros tárolók száma Németországban már 25.000 egység, és 2020-ra </w:t>
      </w:r>
      <w:r w:rsidR="009F317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meghaladhatja a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150.000</w:t>
      </w:r>
      <w:r w:rsidR="009F317F">
        <w:rPr>
          <w:rFonts w:ascii="Times New Roman" w:hAnsi="Times New Roman" w:cs="Times New Roman"/>
          <w:b/>
          <w:color w:val="0070C0"/>
          <w:sz w:val="24"/>
          <w:szCs w:val="24"/>
        </w:rPr>
        <w:t>-es darabszámot.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</w:p>
    <w:p w:rsidR="00B76B0E" w:rsidRDefault="00BC27A9" w:rsidP="00BC27A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Kedves </w:t>
      </w:r>
      <w:r w:rsidR="00B76B0E">
        <w:rPr>
          <w:rFonts w:ascii="Times New Roman" w:hAnsi="Times New Roman" w:cs="Times New Roman"/>
          <w:b/>
          <w:color w:val="0070C0"/>
          <w:sz w:val="24"/>
          <w:szCs w:val="24"/>
        </w:rPr>
        <w:t>MIKSZ tagok,</w:t>
      </w:r>
    </w:p>
    <w:p w:rsidR="00BC27A9" w:rsidRDefault="00B76B0E" w:rsidP="00BC27A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Kedves </w:t>
      </w:r>
      <w:r w:rsidR="00BC27A9">
        <w:rPr>
          <w:rFonts w:ascii="Times New Roman" w:hAnsi="Times New Roman" w:cs="Times New Roman"/>
          <w:b/>
          <w:color w:val="0070C0"/>
          <w:sz w:val="24"/>
          <w:szCs w:val="24"/>
        </w:rPr>
        <w:t>Kollégák,</w:t>
      </w:r>
    </w:p>
    <w:p w:rsidR="00B76B0E" w:rsidRDefault="009F317F" w:rsidP="00BC27A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Az első alkalommal összeállított ipari-energetikai információs levél nem titkolt célja, hogy a tényadatok megismerése mellett elindítson egy közös gondolkodást az energetika és a hozzá kapcsolódó iparág</w:t>
      </w:r>
      <w:r w:rsidR="00B76B0E">
        <w:rPr>
          <w:rFonts w:ascii="Times New Roman" w:hAnsi="Times New Roman" w:cs="Times New Roman"/>
          <w:b/>
          <w:color w:val="0070C0"/>
          <w:sz w:val="24"/>
          <w:szCs w:val="24"/>
        </w:rPr>
        <w:t>ak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aktuális</w:t>
      </w:r>
      <w:r w:rsidR="00B76B0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és jövőbe mutató kérdéseiről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D945A8" w:rsidRDefault="00B76B0E" w:rsidP="00BC27A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Biztosak vagyunk abban, hogy a magyar gazdaság fejlődését, benne hangsúlyosan az ipar tevékenységek bővülését alapjaiban befolyásolja egy fen</w:t>
      </w:r>
      <w:r w:rsidR="00A14D1D">
        <w:rPr>
          <w:rFonts w:ascii="Times New Roman" w:hAnsi="Times New Roman" w:cs="Times New Roman"/>
          <w:b/>
          <w:color w:val="0070C0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tartható, alacsony költségű, de magas rendelkezésre állást biztosító, döntően magyar kapacitásokra támaszkodó </w:t>
      </w:r>
      <w:r w:rsidR="00D945A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nemzeti energetikai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ellátás</w:t>
      </w:r>
      <w:r w:rsidR="00D945A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 és fejlesztési cselekvési program kialakítása és működtetése. </w:t>
      </w:r>
    </w:p>
    <w:p w:rsidR="00611B17" w:rsidRDefault="00D945A8" w:rsidP="00BC27A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Az energetikai kapacitások rendelkezésre állásának biztosításában szerepet vállaló karbantartó cégek és szakemberek rendelkeznek azokkal a tapasztalatokkal </w:t>
      </w:r>
      <w:r w:rsidR="00611B17">
        <w:rPr>
          <w:rFonts w:ascii="Times New Roman" w:hAnsi="Times New Roman" w:cs="Times New Roman"/>
          <w:b/>
          <w:color w:val="0070C0"/>
          <w:sz w:val="24"/>
          <w:szCs w:val="24"/>
        </w:rPr>
        <w:t>és ismeretekkel, amelyek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megalapozottá teszik </w:t>
      </w:r>
      <w:r w:rsidR="00611B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véleményalkotásukat az energetikával szembeni kihívások megválaszolásában. </w:t>
      </w:r>
    </w:p>
    <w:p w:rsidR="00DA5801" w:rsidRDefault="00611B17" w:rsidP="00BC27A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Arra kérjük tagtársainkat, hogy </w:t>
      </w:r>
      <w:r w:rsidR="00DA5801">
        <w:rPr>
          <w:rFonts w:ascii="Times New Roman" w:hAnsi="Times New Roman" w:cs="Times New Roman"/>
          <w:b/>
          <w:color w:val="0070C0"/>
          <w:sz w:val="24"/>
          <w:szCs w:val="24"/>
        </w:rPr>
        <w:t>osszák meg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véleményüket a MIKSZ </w:t>
      </w:r>
      <w:r w:rsidR="00DA5801">
        <w:rPr>
          <w:rFonts w:ascii="Times New Roman" w:hAnsi="Times New Roman" w:cs="Times New Roman"/>
          <w:b/>
          <w:color w:val="0070C0"/>
          <w:sz w:val="24"/>
          <w:szCs w:val="24"/>
        </w:rPr>
        <w:t>közösségével az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ipari-energetikai tevékenységük során felmerült </w:t>
      </w:r>
      <w:r w:rsidR="00DA5801">
        <w:rPr>
          <w:rFonts w:ascii="Times New Roman" w:hAnsi="Times New Roman" w:cs="Times New Roman"/>
          <w:b/>
          <w:color w:val="0070C0"/>
          <w:sz w:val="24"/>
          <w:szCs w:val="24"/>
        </w:rPr>
        <w:t>észrevételeik, javító szándékú javaslataik közreadásával.</w:t>
      </w:r>
    </w:p>
    <w:p w:rsidR="00EB5C45" w:rsidRDefault="00DA5801" w:rsidP="00BC27A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Feltett szándékunk, hogy a beérkező véleményekre alapozva egy tematikus lobby napot szervezzünk, ahol az energetika releváns szereplőinek bevonásával megvitathatjuk azokat a lényeges kérdéseket</w:t>
      </w:r>
      <w:r w:rsidR="00D60757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amely</w:t>
      </w:r>
      <w:r w:rsidR="00D60757">
        <w:rPr>
          <w:rFonts w:ascii="Times New Roman" w:hAnsi="Times New Roman" w:cs="Times New Roman"/>
          <w:b/>
          <w:color w:val="0070C0"/>
          <w:sz w:val="24"/>
          <w:szCs w:val="24"/>
        </w:rPr>
        <w:t>ek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az energetikai rendszerek és főberendezések rendelkezésre</w:t>
      </w:r>
      <w:r w:rsidR="00EB5C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állásáho</w:t>
      </w:r>
      <w:r w:rsidR="00A14D1D">
        <w:rPr>
          <w:rFonts w:ascii="Times New Roman" w:hAnsi="Times New Roman" w:cs="Times New Roman"/>
          <w:b/>
          <w:color w:val="0070C0"/>
          <w:sz w:val="24"/>
          <w:szCs w:val="24"/>
        </w:rPr>
        <w:t>z, az alacsony költségű energiatermeléshez és</w:t>
      </w:r>
      <w:r w:rsidR="00EB5C4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 hosszútávon fent tartható működéshez kapcsolódnak. </w:t>
      </w:r>
    </w:p>
    <w:p w:rsidR="00BC27A9" w:rsidRDefault="00EB5C45" w:rsidP="00BC27A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Reméljük,</w:t>
      </w:r>
      <w:r w:rsidR="00D570D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hogy kezdeményezésünk elnyeri tagtársasaink érdeklődését és támogatását, amely arra irányul, hogy a karbantartás</w:t>
      </w:r>
      <w:r w:rsidR="00A14D1D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és talán tágabb értelmezésben a műszaki szolgáltatás területén </w:t>
      </w:r>
      <w:r w:rsidR="00D60757">
        <w:rPr>
          <w:rFonts w:ascii="Times New Roman" w:hAnsi="Times New Roman" w:cs="Times New Roman"/>
          <w:b/>
          <w:color w:val="0070C0"/>
          <w:sz w:val="24"/>
          <w:szCs w:val="24"/>
        </w:rPr>
        <w:t>felmerülő átfogó témakörök</w:t>
      </w:r>
      <w:r w:rsidR="002707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ben </w:t>
      </w:r>
      <w:r w:rsidR="00D60757">
        <w:rPr>
          <w:rFonts w:ascii="Times New Roman" w:hAnsi="Times New Roman" w:cs="Times New Roman"/>
          <w:b/>
          <w:color w:val="0070C0"/>
          <w:sz w:val="24"/>
          <w:szCs w:val="24"/>
        </w:rPr>
        <w:t>(példaként: hiányzó rendeleti vagy törvényi szabályozások,</w:t>
      </w:r>
      <w:r w:rsidR="002707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60757">
        <w:rPr>
          <w:rFonts w:ascii="Times New Roman" w:hAnsi="Times New Roman" w:cs="Times New Roman"/>
          <w:b/>
          <w:color w:val="0070C0"/>
          <w:sz w:val="24"/>
          <w:szCs w:val="24"/>
        </w:rPr>
        <w:t>együttműködési megállapodások, karbantartási és mérnök-műszaki szolgáltatási követelmények és kritériumok, üzletfolyto</w:t>
      </w:r>
      <w:r w:rsidR="00A14D1D">
        <w:rPr>
          <w:rFonts w:ascii="Times New Roman" w:hAnsi="Times New Roman" w:cs="Times New Roman"/>
          <w:b/>
          <w:color w:val="0070C0"/>
          <w:sz w:val="24"/>
          <w:szCs w:val="24"/>
        </w:rPr>
        <w:t>no</w:t>
      </w:r>
      <w:r w:rsidR="00D60757">
        <w:rPr>
          <w:rFonts w:ascii="Times New Roman" w:hAnsi="Times New Roman" w:cs="Times New Roman"/>
          <w:b/>
          <w:color w:val="0070C0"/>
          <w:sz w:val="24"/>
          <w:szCs w:val="24"/>
        </w:rPr>
        <w:t>sság</w:t>
      </w:r>
      <w:r w:rsidR="00A14D1D"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r w:rsidR="00D607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elvárások, korszerű</w:t>
      </w:r>
      <w:r w:rsidR="00D570D2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D607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költség hatékony karbantartási elvek és technológiák</w:t>
      </w:r>
      <w:r w:rsidR="00A14D1D">
        <w:rPr>
          <w:rFonts w:ascii="Times New Roman" w:hAnsi="Times New Roman" w:cs="Times New Roman"/>
          <w:b/>
          <w:color w:val="0070C0"/>
          <w:sz w:val="24"/>
          <w:szCs w:val="24"/>
        </w:rPr>
        <w:t>, valamint a karbantartások elmaradásból eredő humán és   műszaki baleseti kockázatok valamint  a környezet veszélyeztetése</w:t>
      </w:r>
      <w:r w:rsidR="00D60757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proofErr w:type="gramEnd"/>
      <w:r w:rsidR="00D570D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="002707BD">
        <w:rPr>
          <w:rFonts w:ascii="Times New Roman" w:hAnsi="Times New Roman" w:cs="Times New Roman"/>
          <w:b/>
          <w:color w:val="0070C0"/>
          <w:sz w:val="24"/>
          <w:szCs w:val="24"/>
        </w:rPr>
        <w:t>induljon</w:t>
      </w:r>
      <w:proofErr w:type="gramEnd"/>
      <w:r w:rsidR="002707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el</w:t>
      </w:r>
      <w:r w:rsidR="00D570D2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2707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egy nyílt és baráti kommunikáció, amely segíti a szakmai érdekérvényesítést, és transzparens kereteket biztosít a különböző érdekelt felek találkozására.  </w:t>
      </w:r>
    </w:p>
    <w:p w:rsidR="002707BD" w:rsidRDefault="002707BD" w:rsidP="00BC27A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C27A9" w:rsidRDefault="002707BD" w:rsidP="00BC27A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Az információs levélhez fűzött észrevételeiket a MIKSZ honlapján működtetett „Fórum” oldalra írhatják be. </w:t>
      </w:r>
    </w:p>
    <w:p w:rsidR="00C87E88" w:rsidRDefault="00C87E88" w:rsidP="00BC27A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2016. november </w:t>
      </w:r>
    </w:p>
    <w:p w:rsidR="00A14D1D" w:rsidRPr="00BC27A9" w:rsidRDefault="00A14D1D" w:rsidP="00BC27A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Összeállította: Laka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4"/>
          <w:szCs w:val="24"/>
        </w:rPr>
        <w:t>tos Gábor MIKSZ tag</w:t>
      </w:r>
    </w:p>
    <w:sectPr w:rsidR="00A14D1D" w:rsidRPr="00BC27A9" w:rsidSect="00BC27A9">
      <w:pgSz w:w="11906" w:h="16838"/>
      <w:pgMar w:top="1135" w:right="1417" w:bottom="1417" w:left="1417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1.05pt;height:151.9pt;visibility:visible;mso-wrap-style:square" o:bullet="t">
        <v:imagedata r:id="rId1" o:title=""/>
      </v:shape>
    </w:pict>
  </w:numPicBullet>
  <w:numPicBullet w:numPicBulletId="1">
    <w:pict>
      <v:shape id="Kép 4" o:spid="_x0000_i1027" type="#_x0000_t75" style="width:146.9pt;height:149.85pt;visibility:visible;mso-wrap-style:square" o:bullet="t">
        <v:imagedata r:id="rId2" o:title=""/>
      </v:shape>
    </w:pict>
  </w:numPicBullet>
  <w:numPicBullet w:numPicBulletId="2">
    <w:pict>
      <v:shape id="_x0000_i1028" type="#_x0000_t75" style="width:141.1pt;height:138.15pt;visibility:visible;mso-wrap-style:square" o:bullet="t">
        <v:imagedata r:id="rId3" o:title=""/>
      </v:shape>
    </w:pict>
  </w:numPicBullet>
  <w:numPicBullet w:numPicBulletId="3">
    <w:pict>
      <v:shape id="_x0000_i1029" type="#_x0000_t75" style="width:151.5pt;height:141.9pt;visibility:visible;mso-wrap-style:square" o:bullet="t">
        <v:imagedata r:id="rId4" o:title=""/>
      </v:shape>
    </w:pict>
  </w:numPicBullet>
  <w:abstractNum w:abstractNumId="0">
    <w:nsid w:val="03BC028B"/>
    <w:multiLevelType w:val="hybridMultilevel"/>
    <w:tmpl w:val="C0563EB6"/>
    <w:lvl w:ilvl="0" w:tplc="60343C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226F"/>
    <w:multiLevelType w:val="hybridMultilevel"/>
    <w:tmpl w:val="558C65F2"/>
    <w:lvl w:ilvl="0" w:tplc="040E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2">
    <w:nsid w:val="152D141F"/>
    <w:multiLevelType w:val="hybridMultilevel"/>
    <w:tmpl w:val="1F8E071A"/>
    <w:lvl w:ilvl="0" w:tplc="A11AEB9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524D"/>
    <w:multiLevelType w:val="hybridMultilevel"/>
    <w:tmpl w:val="E4B6D3D2"/>
    <w:lvl w:ilvl="0" w:tplc="B8B470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7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CF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EC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CB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E88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CD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82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06C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C06C82"/>
    <w:multiLevelType w:val="hybridMultilevel"/>
    <w:tmpl w:val="24FC319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DDC0BDE"/>
    <w:multiLevelType w:val="hybridMultilevel"/>
    <w:tmpl w:val="01EAB1AA"/>
    <w:lvl w:ilvl="0" w:tplc="60343C6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42306C"/>
    <w:multiLevelType w:val="hybridMultilevel"/>
    <w:tmpl w:val="06123CB8"/>
    <w:lvl w:ilvl="0" w:tplc="B8B4700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E855B5"/>
    <w:multiLevelType w:val="hybridMultilevel"/>
    <w:tmpl w:val="8D50AD98"/>
    <w:lvl w:ilvl="0" w:tplc="A11AEB9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4E64A5"/>
    <w:multiLevelType w:val="hybridMultilevel"/>
    <w:tmpl w:val="50040E38"/>
    <w:lvl w:ilvl="0" w:tplc="60343C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3277E"/>
    <w:multiLevelType w:val="hybridMultilevel"/>
    <w:tmpl w:val="A91AD5A8"/>
    <w:lvl w:ilvl="0" w:tplc="6B9CA1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B4430D"/>
    <w:multiLevelType w:val="hybridMultilevel"/>
    <w:tmpl w:val="25FA6714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460B4F23"/>
    <w:multiLevelType w:val="hybridMultilevel"/>
    <w:tmpl w:val="9296FA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4D602B"/>
    <w:multiLevelType w:val="hybridMultilevel"/>
    <w:tmpl w:val="525C0EF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690992"/>
    <w:multiLevelType w:val="hybridMultilevel"/>
    <w:tmpl w:val="B1F44F88"/>
    <w:lvl w:ilvl="0" w:tplc="6B9CA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86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187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661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4D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C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CE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6B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E2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77975D7"/>
    <w:multiLevelType w:val="hybridMultilevel"/>
    <w:tmpl w:val="22940F46"/>
    <w:lvl w:ilvl="0" w:tplc="040E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5C934FCB"/>
    <w:multiLevelType w:val="hybridMultilevel"/>
    <w:tmpl w:val="D37E0A34"/>
    <w:lvl w:ilvl="0" w:tplc="6B9CA1F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176391"/>
    <w:multiLevelType w:val="hybridMultilevel"/>
    <w:tmpl w:val="1E089896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651A5CF3"/>
    <w:multiLevelType w:val="hybridMultilevel"/>
    <w:tmpl w:val="3E9EC55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73A7B2C"/>
    <w:multiLevelType w:val="hybridMultilevel"/>
    <w:tmpl w:val="28EC3AE2"/>
    <w:lvl w:ilvl="0" w:tplc="040E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9">
    <w:nsid w:val="6F4615CF"/>
    <w:multiLevelType w:val="hybridMultilevel"/>
    <w:tmpl w:val="A91AD5A8"/>
    <w:lvl w:ilvl="0" w:tplc="6B9CA1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14C7E"/>
    <w:multiLevelType w:val="hybridMultilevel"/>
    <w:tmpl w:val="94564408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5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9"/>
  </w:num>
  <w:num w:numId="13">
    <w:abstractNumId w:val="9"/>
  </w:num>
  <w:num w:numId="14">
    <w:abstractNumId w:val="17"/>
  </w:num>
  <w:num w:numId="15">
    <w:abstractNumId w:val="14"/>
  </w:num>
  <w:num w:numId="16">
    <w:abstractNumId w:val="16"/>
  </w:num>
  <w:num w:numId="17">
    <w:abstractNumId w:val="4"/>
  </w:num>
  <w:num w:numId="18">
    <w:abstractNumId w:val="10"/>
  </w:num>
  <w:num w:numId="19">
    <w:abstractNumId w:val="20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6B"/>
    <w:rsid w:val="0001050B"/>
    <w:rsid w:val="000944F3"/>
    <w:rsid w:val="000E28CB"/>
    <w:rsid w:val="001D1314"/>
    <w:rsid w:val="001F0DDE"/>
    <w:rsid w:val="001F1FA2"/>
    <w:rsid w:val="001F6B62"/>
    <w:rsid w:val="002041E0"/>
    <w:rsid w:val="0025316B"/>
    <w:rsid w:val="002707BD"/>
    <w:rsid w:val="00313466"/>
    <w:rsid w:val="003C28ED"/>
    <w:rsid w:val="003F2C7E"/>
    <w:rsid w:val="004249BB"/>
    <w:rsid w:val="00447A03"/>
    <w:rsid w:val="004D44C2"/>
    <w:rsid w:val="00562E42"/>
    <w:rsid w:val="00611B17"/>
    <w:rsid w:val="0065093C"/>
    <w:rsid w:val="00665C05"/>
    <w:rsid w:val="006E5E34"/>
    <w:rsid w:val="007223D2"/>
    <w:rsid w:val="0077327B"/>
    <w:rsid w:val="007F35C1"/>
    <w:rsid w:val="00802377"/>
    <w:rsid w:val="00855612"/>
    <w:rsid w:val="008E1E91"/>
    <w:rsid w:val="00935ECE"/>
    <w:rsid w:val="00975C83"/>
    <w:rsid w:val="009C7FB3"/>
    <w:rsid w:val="009F314E"/>
    <w:rsid w:val="009F317F"/>
    <w:rsid w:val="00A1061A"/>
    <w:rsid w:val="00A14D1D"/>
    <w:rsid w:val="00A56453"/>
    <w:rsid w:val="00B41F9F"/>
    <w:rsid w:val="00B76B0E"/>
    <w:rsid w:val="00BC27A9"/>
    <w:rsid w:val="00C04121"/>
    <w:rsid w:val="00C46E63"/>
    <w:rsid w:val="00C66606"/>
    <w:rsid w:val="00C87E88"/>
    <w:rsid w:val="00C91D08"/>
    <w:rsid w:val="00D47EDA"/>
    <w:rsid w:val="00D5139D"/>
    <w:rsid w:val="00D570D2"/>
    <w:rsid w:val="00D60757"/>
    <w:rsid w:val="00D945A8"/>
    <w:rsid w:val="00DA5801"/>
    <w:rsid w:val="00EB5C45"/>
    <w:rsid w:val="00EB7218"/>
    <w:rsid w:val="00FA3AC6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31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31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en-US" sz="1200">
                <a:solidFill>
                  <a:srgbClr val="00B0F0"/>
                </a:solidFill>
              </a:rPr>
              <a:t>A világ </a:t>
            </a:r>
            <a:r>
              <a:rPr lang="hu-HU" sz="1200">
                <a:solidFill>
                  <a:srgbClr val="00B0F0"/>
                </a:solidFill>
              </a:rPr>
              <a:t>e</a:t>
            </a:r>
            <a:r>
              <a:rPr lang="en-US" sz="1200">
                <a:solidFill>
                  <a:srgbClr val="00B0F0"/>
                </a:solidFill>
              </a:rPr>
              <a:t>nergiaforrás</a:t>
            </a:r>
            <a:r>
              <a:rPr lang="hu-HU" sz="1200">
                <a:solidFill>
                  <a:srgbClr val="00B0F0"/>
                </a:solidFill>
              </a:rPr>
              <a:t>ainak</a:t>
            </a:r>
            <a:r>
              <a:rPr lang="en-US" sz="1200">
                <a:solidFill>
                  <a:srgbClr val="00B0F0"/>
                </a:solidFill>
              </a:rPr>
              <a:t> felhasználás</a:t>
            </a:r>
            <a:r>
              <a:rPr lang="hu-HU" sz="1200">
                <a:solidFill>
                  <a:srgbClr val="00B0F0"/>
                </a:solidFill>
              </a:rPr>
              <a:t>a</a:t>
            </a:r>
            <a:r>
              <a:rPr lang="en-US" sz="1200">
                <a:solidFill>
                  <a:srgbClr val="00B0F0"/>
                </a:solidFill>
              </a:rPr>
              <a:t> </a:t>
            </a:r>
            <a:endParaRPr lang="hu-HU" sz="1200">
              <a:solidFill>
                <a:srgbClr val="00B0F0"/>
              </a:solidFill>
            </a:endParaRPr>
          </a:p>
          <a:p>
            <a:pPr>
              <a:defRPr/>
            </a:pPr>
            <a:r>
              <a:rPr lang="en-US" sz="1200">
                <a:solidFill>
                  <a:srgbClr val="00B0F0"/>
                </a:solidFill>
              </a:rPr>
              <a:t>2015</a:t>
            </a:r>
            <a:r>
              <a:rPr lang="hu-HU" sz="1200">
                <a:solidFill>
                  <a:srgbClr val="00B0F0"/>
                </a:solidFill>
              </a:rPr>
              <a:t>.</a:t>
            </a:r>
            <a:endParaRPr lang="en-US" sz="1200">
              <a:solidFill>
                <a:srgbClr val="00B0F0"/>
              </a:solidFill>
            </a:endParaRPr>
          </a:p>
        </c:rich>
      </c:tx>
      <c:layout>
        <c:manualLayout>
          <c:xMode val="edge"/>
          <c:yMode val="edge"/>
          <c:x val="0.12691506970907498"/>
          <c:y val="0"/>
        </c:manualLayout>
      </c:layout>
      <c:overlay val="0"/>
    </c:title>
    <c:autoTitleDeleted val="0"/>
    <c:view3D>
      <c:rotX val="75"/>
      <c:rotY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874627562173324"/>
          <c:y val="0.21090235512040223"/>
          <c:w val="0.35022865075089704"/>
          <c:h val="0.67867806547997322"/>
        </c:manualLayout>
      </c:layout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 A világ   Energiaforrás felhasználás megoszlása , 2015</c:v>
                </c:pt>
              </c:strCache>
            </c:strRef>
          </c:tx>
          <c:dLbls>
            <c:dLbl>
              <c:idx val="0"/>
              <c:layout>
                <c:manualLayout>
                  <c:x val="-0.11009341992261668"/>
                  <c:y val="-0.1592723175387108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571255752466232"/>
                  <c:y val="-3.3210502782959957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bg2">
                            <a:lumMod val="90000"/>
                          </a:schemeClr>
                        </a:solidFill>
                      </a:defRPr>
                    </a:pPr>
                    <a:r>
                      <a:rPr lang="en-US">
                        <a:solidFill>
                          <a:schemeClr val="bg2">
                            <a:lumMod val="90000"/>
                          </a:schemeClr>
                        </a:solidFill>
                      </a:rPr>
                      <a:t>Olaj; 32,94%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080212204237979E-2"/>
                  <c:y val="0.15281923407241405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70C0"/>
                        </a:solidFill>
                      </a:rPr>
                      <a:t>Gáz; 23,85%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636170191720916E-2"/>
                  <c:y val="-7.9227996864716516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Atom; 4,44%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7886059776192992E-2"/>
                  <c:y val="-0.10216423734979371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B050"/>
                        </a:solidFill>
                      </a:rPr>
                      <a:t>Víz; 6,79%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8640583802482858E-2"/>
                  <c:y val="-0.1182419410421692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B050"/>
                        </a:solidFill>
                      </a:rPr>
                      <a:t>Szél; 1,44%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760552907637578E-2"/>
                  <c:y val="-5.134130877666855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B050"/>
                        </a:solidFill>
                      </a:rPr>
                      <a:t>Nap; 0,45%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3554098448075884E-2"/>
                  <c:y val="7.29295107099266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B050"/>
                        </a:solidFill>
                      </a:rPr>
                      <a:t>Egyéb megújúló; 0,89%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Munka1!$A$2:$A$9</c:f>
              <c:strCache>
                <c:ptCount val="8"/>
                <c:pt idx="0">
                  <c:v>Szén</c:v>
                </c:pt>
                <c:pt idx="1">
                  <c:v>Olaj</c:v>
                </c:pt>
                <c:pt idx="2">
                  <c:v>Gáz</c:v>
                </c:pt>
                <c:pt idx="3">
                  <c:v>Atom</c:v>
                </c:pt>
                <c:pt idx="4">
                  <c:v>Víz</c:v>
                </c:pt>
                <c:pt idx="5">
                  <c:v>Szél</c:v>
                </c:pt>
                <c:pt idx="6">
                  <c:v>Nap</c:v>
                </c:pt>
                <c:pt idx="7">
                  <c:v>Egyéb megújúló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0.29199999999999998</c:v>
                </c:pt>
                <c:pt idx="1">
                  <c:v>0.32940000000000003</c:v>
                </c:pt>
                <c:pt idx="2">
                  <c:v>0.23849999999999999</c:v>
                </c:pt>
                <c:pt idx="3">
                  <c:v>4.4400000000000002E-2</c:v>
                </c:pt>
                <c:pt idx="4">
                  <c:v>6.7900000000000002E-2</c:v>
                </c:pt>
                <c:pt idx="5">
                  <c:v>1.44E-2</c:v>
                </c:pt>
                <c:pt idx="6">
                  <c:v>4.4999999999999997E-3</c:v>
                </c:pt>
                <c:pt idx="7">
                  <c:v>8.8999999999999999E-3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D9ED-67B4-416A-A9A1-BDB5A6B8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Gábor</dc:creator>
  <cp:lastModifiedBy>Lakatos Gábor</cp:lastModifiedBy>
  <cp:revision>2</cp:revision>
  <cp:lastPrinted>2016-11-03T10:30:00Z</cp:lastPrinted>
  <dcterms:created xsi:type="dcterms:W3CDTF">2016-11-16T08:47:00Z</dcterms:created>
  <dcterms:modified xsi:type="dcterms:W3CDTF">2016-11-16T08:47:00Z</dcterms:modified>
</cp:coreProperties>
</file>